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0E" w:rsidRDefault="00E72F0E" w:rsidP="00027E2D">
      <w:pPr>
        <w:ind w:left="-456" w:right="-228"/>
        <w:jc w:val="right"/>
        <w:rPr>
          <w:b/>
          <w:sz w:val="20"/>
          <w:szCs w:val="20"/>
        </w:rPr>
      </w:pPr>
    </w:p>
    <w:p w:rsidR="00E72F0E" w:rsidRDefault="00E72F0E" w:rsidP="00027E2D">
      <w:pPr>
        <w:ind w:left="-456" w:right="-228"/>
        <w:jc w:val="right"/>
        <w:rPr>
          <w:b/>
          <w:sz w:val="20"/>
          <w:szCs w:val="20"/>
        </w:rPr>
      </w:pPr>
    </w:p>
    <w:p w:rsidR="00E72F0E" w:rsidRDefault="00893CA5" w:rsidP="00027E2D">
      <w:pPr>
        <w:ind w:left="-456" w:right="-228"/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119495" cy="8414306"/>
            <wp:effectExtent l="19050" t="0" r="0" b="0"/>
            <wp:docPr id="1" name="Рисунок 1" descr="C:\Users\Альфинур\Pictures\2021-06-02 ж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ж\ж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0E" w:rsidRDefault="00E72F0E" w:rsidP="00027E2D">
      <w:pPr>
        <w:ind w:left="-456" w:right="-228"/>
        <w:jc w:val="right"/>
        <w:rPr>
          <w:b/>
          <w:sz w:val="20"/>
          <w:szCs w:val="20"/>
        </w:rPr>
      </w:pPr>
    </w:p>
    <w:p w:rsidR="00610F29" w:rsidRDefault="00610F29" w:rsidP="00203116">
      <w:pPr>
        <w:autoSpaceDE w:val="0"/>
        <w:rPr>
          <w:b/>
          <w:bCs/>
          <w:sz w:val="28"/>
          <w:szCs w:val="28"/>
        </w:rPr>
      </w:pPr>
    </w:p>
    <w:p w:rsidR="00D25A6D" w:rsidRPr="00D25A6D" w:rsidRDefault="00D25A6D">
      <w:pPr>
        <w:ind w:left="-456" w:right="-228"/>
        <w:jc w:val="center"/>
        <w:rPr>
          <w:b/>
          <w:sz w:val="32"/>
          <w:szCs w:val="32"/>
        </w:rPr>
      </w:pPr>
    </w:p>
    <w:p w:rsidR="00610F29" w:rsidRDefault="00610F29">
      <w:pPr>
        <w:ind w:left="-456" w:right="-228"/>
        <w:jc w:val="both"/>
        <w:rPr>
          <w:b/>
          <w:sz w:val="28"/>
          <w:szCs w:val="28"/>
        </w:rPr>
      </w:pPr>
    </w:p>
    <w:p w:rsidR="00027E2D" w:rsidRPr="00027E2D" w:rsidRDefault="00027E2D" w:rsidP="00027E2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Устава </w:t>
      </w:r>
      <w:r w:rsidR="00203116">
        <w:rPr>
          <w:bCs/>
          <w:sz w:val="28"/>
          <w:szCs w:val="28"/>
        </w:rPr>
        <w:t>МБ</w:t>
      </w:r>
      <w:r w:rsidRPr="00027E2D">
        <w:rPr>
          <w:bCs/>
          <w:sz w:val="28"/>
          <w:szCs w:val="28"/>
        </w:rPr>
        <w:t>ДОУ «</w:t>
      </w:r>
      <w:r w:rsidR="00203116" w:rsidRPr="00203116">
        <w:rPr>
          <w:sz w:val="28"/>
          <w:szCs w:val="28"/>
        </w:rPr>
        <w:t>Детский сад №321 комбинированного вида с татарским языком воспитания и обучения</w:t>
      </w:r>
      <w:r w:rsidRPr="00027E2D">
        <w:rPr>
          <w:bCs/>
          <w:sz w:val="28"/>
          <w:szCs w:val="28"/>
        </w:rPr>
        <w:t>» Кировского района г.Казани</w:t>
      </w:r>
    </w:p>
    <w:p w:rsidR="00610F29" w:rsidRDefault="00027E2D" w:rsidP="00027E2D">
      <w:pPr>
        <w:jc w:val="both"/>
        <w:rPr>
          <w:sz w:val="28"/>
          <w:szCs w:val="28"/>
        </w:rPr>
      </w:pPr>
      <w:r>
        <w:rPr>
          <w:sz w:val="28"/>
          <w:szCs w:val="28"/>
        </w:rPr>
        <w:t>2. Заработная плата работников</w:t>
      </w:r>
      <w:r w:rsidR="002031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(без учета премий), устанавливаемая в соответствии с локальными нормативными актами учреждения образования, которые разрабатываются с учетом настоящего Положения, не может быть меньше заработной платы (без учета премий), выплачиваемой согласно Единой тарифной сетке, при условии сохранения объема должностных обязанностей работников и выполнения ими работ той же квалификации.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Оплата труда медицинских, библиотечных и других работников учреждения, не относящихся согласно ПКГ к работникам образования, осуществляется в учреждении применительно к ПКГ по соответствующим видам экономической деятельности.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 xml:space="preserve">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Введение в организации новых систем оплаты труда не может рассматриваться как основание для отказа от предоставления льгот и гарантий, установленных трудовым законодательством.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Системы оплаты труда в учреждение устанавливаются коллективным договорам, локальными нормативными актами, принимаемыми в соответствии с трудовым законодательством, иными нормативными правовыми актами Российской Федерации, Республики Татарстан и Управления образования ИК МО г. Казани содержащими нормы трудового права, и настоящим Положением. </w:t>
      </w:r>
    </w:p>
    <w:p w:rsidR="00B06176" w:rsidRDefault="00B06176">
      <w:pPr>
        <w:pStyle w:val="Default"/>
        <w:jc w:val="center"/>
        <w:rPr>
          <w:b/>
          <w:bCs/>
          <w:sz w:val="28"/>
          <w:szCs w:val="28"/>
        </w:rPr>
      </w:pPr>
    </w:p>
    <w:p w:rsidR="00610F29" w:rsidRDefault="00027E2D" w:rsidP="002031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и условия оплаты труда</w:t>
      </w:r>
    </w:p>
    <w:p w:rsidR="00B06176" w:rsidRDefault="00B06176">
      <w:pPr>
        <w:pStyle w:val="Default"/>
        <w:jc w:val="center"/>
        <w:rPr>
          <w:sz w:val="28"/>
          <w:szCs w:val="28"/>
        </w:rPr>
      </w:pP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1.Данное положение вступает в действие и регулирует порядок и правила оплаты труда работников учреждения образования со дня принятия положения.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Положение определяет порядок: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фонда оплаты труда работников ОУ за счет средств бюджета и внебюджетных средств от приносящей доход деятельности. (Формирование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нормативом финансовых затрат, количеством потребителей и услуг и поправочным коэффициентом на переходный период, и отражается в плане финансово-хозяйственной деятельности образовательного учреждения).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Образовательное учреждение самостоятельно определяет в общем объеме средств, рассчитанном на основании норматива финансирования, количества потребителей и поправочного коэффициента, на заработную плату педагогического, учебно-вспомогательного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Постановления РТ, от фонда оплаты труда </w:t>
      </w:r>
      <w:r>
        <w:rPr>
          <w:sz w:val="28"/>
          <w:szCs w:val="28"/>
        </w:rPr>
        <w:lastRenderedPageBreak/>
        <w:t>основного персонала по основному месту работы учреждения по должностным окладам (окладам, ставкам заработной платы).</w:t>
      </w:r>
      <w:proofErr w:type="gramEnd"/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базовых окладов работников, с учетом меж разрядного коэффициента четырехразрядной тарифной сетки по оплате труда работников образования и размеров должностных окладов (ставок) по профессиональным квалификационным группам (ПКГ) и квалификационным уровням; </w:t>
      </w:r>
    </w:p>
    <w:p w:rsidR="00BB79D6" w:rsidRDefault="00027E2D" w:rsidP="00BB79D6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выплат компенсационного и стимулирующего характера. </w:t>
      </w:r>
    </w:p>
    <w:p w:rsidR="00B06176" w:rsidRDefault="00B06176">
      <w:pPr>
        <w:pStyle w:val="Default"/>
        <w:jc w:val="center"/>
        <w:rPr>
          <w:b/>
          <w:sz w:val="28"/>
          <w:szCs w:val="28"/>
        </w:rPr>
      </w:pPr>
    </w:p>
    <w:p w:rsidR="00610F29" w:rsidRDefault="00027E2D" w:rsidP="00203116">
      <w:pPr>
        <w:pStyle w:val="Default"/>
        <w:numPr>
          <w:ilvl w:val="0"/>
          <w:numId w:val="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условия оплаты труда.</w:t>
      </w:r>
    </w:p>
    <w:p w:rsidR="00B06176" w:rsidRDefault="00B06176" w:rsidP="00B06176">
      <w:pPr>
        <w:pStyle w:val="Default"/>
        <w:ind w:left="-96"/>
        <w:rPr>
          <w:b/>
          <w:sz w:val="28"/>
          <w:szCs w:val="28"/>
        </w:rPr>
      </w:pP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Фонд оплаты труда работников организации включают в себя размеры окладов (должностных окладов), ставок заработной платы, выплаты компенсационного и стимулирующего характера.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Фонд оплаты труда работников организации формируется на календарный год, исходя из объема лимитов бюджетных обязательств муниципального бюджета и внебюджетных средств, поступающих от приносящей доход деятельности.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Системы оплаты труда работников организации устанавливаются с учетом: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-единого тарифно-квалификационного справочника работ и профессий рабочих;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-единого квалификационного справочника должностей руководителей, специалистов и служащих;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-государственных гарантий по оплате труда;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-минимальных окладов (минимальных должностных окладов), минимальных ставок заработной платы по профессиональным квалификационным группам;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-перечня видов выплат компенсационного характера в образовательных учреждениях;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-перечня видов выплат стимулирующего характера в образовательных учреждениях;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-иных обязательных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-настоящего Положения;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-рекомендаций Российской трехсторонней комиссии по регулированию социально-трудовых отношений;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-мнения представительного (профсоюзного) органа работников. </w:t>
      </w:r>
    </w:p>
    <w:p w:rsidR="00BB79D6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Организация в пределах, имеющихся у него средств на оплату труда, самостоятельно определяет размеры окладов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- оклады (должностные оклады), ставки заработной платы), а также размеры доплат, надбавок, премий и иных выплат без ограничения их максимальными размерами согласно постановления Кабинета Министров Республики Татарстан от 24.08.2010 года</w:t>
      </w:r>
      <w:proofErr w:type="gramEnd"/>
      <w:r>
        <w:rPr>
          <w:sz w:val="28"/>
          <w:szCs w:val="28"/>
        </w:rPr>
        <w:t xml:space="preserve"> № 678 «Об условиях </w:t>
      </w:r>
      <w:proofErr w:type="gramStart"/>
      <w:r>
        <w:rPr>
          <w:sz w:val="28"/>
          <w:szCs w:val="28"/>
        </w:rPr>
        <w:t>оплаты труда работников государственных учреждений Республики</w:t>
      </w:r>
      <w:proofErr w:type="gramEnd"/>
      <w:r>
        <w:rPr>
          <w:sz w:val="28"/>
          <w:szCs w:val="28"/>
        </w:rPr>
        <w:t xml:space="preserve"> Татарстан» и в последующих редакциях и изменениях. </w:t>
      </w:r>
    </w:p>
    <w:p w:rsidR="00610F29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 xml:space="preserve">Размеры окладов (должностных окладов), ставок заработной платы устанавливается на основе требований к профессиональной подготовке и </w:t>
      </w:r>
      <w:r>
        <w:rPr>
          <w:sz w:val="28"/>
          <w:szCs w:val="28"/>
        </w:rPr>
        <w:lastRenderedPageBreak/>
        <w:t>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- оклады по соответствующим ПКГ) на повышающий коэффициент, установленный для профессий рабочих и/или должностей служащих, отнесенных</w:t>
      </w:r>
      <w:proofErr w:type="gramEnd"/>
      <w:r>
        <w:rPr>
          <w:sz w:val="28"/>
          <w:szCs w:val="28"/>
        </w:rPr>
        <w:t xml:space="preserve"> к соответствующему квалификационному уровню ПКГ (далее - повышающий коэффициент). Оклады по соответствующим ПКГ устанавливается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proofErr w:type="gramStart"/>
      <w:r>
        <w:rPr>
          <w:sz w:val="28"/>
          <w:szCs w:val="28"/>
        </w:rPr>
        <w:t xml:space="preserve">Размер повышающего коэффициента к окладу по соответствующей ПКГ устанавливается единым для всех должностей (профессий), отнесенных к соответствующему квалификационному уровню, на основе расчетов и в пределах средств, предусмотренных на оплату труда работников учреждения. </w:t>
      </w:r>
      <w:proofErr w:type="gramEnd"/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Размеры повышающих коэффициентов к окладам по соответствующим ПКГ рассчитываются на основе проведения дифференциации типовых должностей, включаемых в штатное расписание учреждения, по квалификационным уровням ПКГ. Указанные должности должны соответствовать уставным целям организации и содержаться в соответствующих разделах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 </w:t>
      </w: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027E2D">
        <w:rPr>
          <w:sz w:val="28"/>
          <w:szCs w:val="28"/>
        </w:rPr>
        <w:t xml:space="preserve">. Выплаты социального характера работникам может выплачиваться за счет экономии средств фонда оплаты труда, направленные на их социальную поддержку, но не связанные с осуществлением ими трудовых функций: </w:t>
      </w:r>
    </w:p>
    <w:p w:rsidR="00BB79D6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связи с тяжелыми заболеваниями работника или его детей, требующих значительных финансовых средств на лечение; </w:t>
      </w:r>
    </w:p>
    <w:p w:rsidR="00610F29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потере имущества в результате пожара;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семье воспитывающих более 3-х детей.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выплат зависит от суммы экономии. Выплачивается по приказу руководителя, по согласованию с профсоюзным комитетом. </w:t>
      </w:r>
    </w:p>
    <w:p w:rsidR="00B06176" w:rsidRDefault="00B06176">
      <w:pPr>
        <w:pStyle w:val="Default"/>
        <w:jc w:val="both"/>
        <w:rPr>
          <w:sz w:val="28"/>
          <w:szCs w:val="28"/>
        </w:rPr>
      </w:pPr>
    </w:p>
    <w:p w:rsidR="00E72F0E" w:rsidRDefault="00E72F0E">
      <w:pPr>
        <w:pStyle w:val="Default"/>
        <w:jc w:val="both"/>
        <w:rPr>
          <w:sz w:val="28"/>
          <w:szCs w:val="28"/>
        </w:rPr>
      </w:pPr>
    </w:p>
    <w:p w:rsidR="00610F29" w:rsidRDefault="00027E2D" w:rsidP="00203116">
      <w:pPr>
        <w:pStyle w:val="Default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оплаты труда руководителя учреждения, заместителей руководителя.</w:t>
      </w:r>
    </w:p>
    <w:p w:rsidR="00B06176" w:rsidRDefault="00B06176" w:rsidP="00B06176">
      <w:pPr>
        <w:pStyle w:val="Default"/>
        <w:ind w:left="-96"/>
        <w:rPr>
          <w:sz w:val="28"/>
          <w:szCs w:val="28"/>
        </w:rPr>
      </w:pP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7E2D">
        <w:rPr>
          <w:sz w:val="28"/>
          <w:szCs w:val="28"/>
        </w:rPr>
        <w:t xml:space="preserve">Заработная плата руководителя организации, их заместителей и главного бухгалтера состоит из должностного оклада, выплат компенсационного и стимулирующего характера. </w:t>
      </w: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7E2D">
        <w:rPr>
          <w:sz w:val="28"/>
          <w:szCs w:val="28"/>
        </w:rPr>
        <w:t xml:space="preserve">Должностной оклад руководителя, заместителя руководителя, главного бухгалтера образовательной организации устанавливается учредителем </w:t>
      </w:r>
      <w:r w:rsidR="00027E2D">
        <w:rPr>
          <w:sz w:val="28"/>
          <w:szCs w:val="28"/>
        </w:rPr>
        <w:lastRenderedPageBreak/>
        <w:t xml:space="preserve">образовательной организации на основании трудового договора, в двукратном отношении к средней заработной плате работников, относящихся к основному персоналу возглавляемого им учреждения. При расчете должностного оклада руководителя учитываются оклады (должностные оклады), выплаты за внеаудиторную занятость и отдельные виды выплат стимулирующего и компенсационного характера работников (персонала) за календарный год, предшествующий году установления должностного оклада руководителю.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основному персоналу организации относятся работники, непосредственно обеспечивающие выполнение основных функций, для реализации которых создано учреждение. </w:t>
      </w: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027E2D">
        <w:rPr>
          <w:sz w:val="28"/>
          <w:szCs w:val="28"/>
        </w:rPr>
        <w:t>Перечни должностей и профессий работников организации, которые относятся к основному персоналу по видам экономической деятельности «Образование», указанных в Едином квалификационном справочнике должностей руководителей, специалистов и служащих и Едином тарифно-квалификационном справочнике работ и профессий рабочих, утвержденных Правительством РФ (Приказ Министерства здравоохранения и социального развития РФ от 14 августа 2009 г. N 593"Об утверждении Единого квалификационного справочника должностей руководителей, специалистов и</w:t>
      </w:r>
      <w:proofErr w:type="gramEnd"/>
      <w:r w:rsidR="00027E2D">
        <w:rPr>
          <w:sz w:val="28"/>
          <w:szCs w:val="28"/>
        </w:rPr>
        <w:t xml:space="preserve"> служащих, раздел "Квалификационные характеристики должностей работников образования") </w:t>
      </w: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7E2D">
        <w:rPr>
          <w:sz w:val="28"/>
          <w:szCs w:val="28"/>
        </w:rPr>
        <w:t xml:space="preserve">Порядок исчисления размера средней заработной </w:t>
      </w:r>
      <w:proofErr w:type="gramStart"/>
      <w:r w:rsidR="00027E2D">
        <w:rPr>
          <w:sz w:val="28"/>
          <w:szCs w:val="28"/>
        </w:rPr>
        <w:t>платы для определения размера должностного оклада руководителя бюджетного учреждения</w:t>
      </w:r>
      <w:proofErr w:type="gramEnd"/>
      <w:r w:rsidR="00027E2D">
        <w:rPr>
          <w:sz w:val="28"/>
          <w:szCs w:val="28"/>
        </w:rPr>
        <w:t xml:space="preserve"> утверждены приказом Министерства здравоохранения и социального развития Российской Федерации от 8 апреля 2008 г. N 167н (зарегистрирован Министерством юстиции Российской Федерации 5 мая 2008 г., регистрационный N 11624) и приказами МОиН РТ. </w:t>
      </w:r>
    </w:p>
    <w:p w:rsidR="00610F29" w:rsidRDefault="002031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7E2D">
        <w:rPr>
          <w:sz w:val="28"/>
          <w:szCs w:val="28"/>
        </w:rPr>
        <w:t xml:space="preserve">Должностные оклады заместителей руководителей и главного бухгалтера устанавливаются на 10-30 процентов ниже должностного оклада руководителя. </w:t>
      </w:r>
    </w:p>
    <w:p w:rsidR="00BB79D6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Выплаты компенсационного характера устанавливаются для руководителя организации, их заместителей и главного бухгалтера в процентах к должностным окладам или в абсолютных размерах, если иное не установлено федеральными законами, законами РТ или указами Президента РФ и РТ.</w:t>
      </w:r>
    </w:p>
    <w:p w:rsidR="00BB79D6" w:rsidRDefault="00027E2D" w:rsidP="0020311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Выплаты стимулирующего характера производятся руководителю учреждения с учетом результатов деятельности учреждений, определенных на основании критериев эффективности деятельности учреждений и составляет 50% от фонда стимулирования руководителю и 50% заместителям руководителя образовательного учреждения. Выплаты стимулирующего характера руководителю и заместителям руководителя могут осуществляться ежемесячно, ежеквартально, по итогам работы за год, за выполнение важных и особо важных заданий. </w:t>
      </w:r>
    </w:p>
    <w:p w:rsidR="00203116" w:rsidRDefault="00203116" w:rsidP="00203116">
      <w:pPr>
        <w:pStyle w:val="Default"/>
        <w:ind w:firstLine="708"/>
        <w:jc w:val="both"/>
        <w:rPr>
          <w:sz w:val="28"/>
          <w:szCs w:val="28"/>
        </w:rPr>
      </w:pPr>
    </w:p>
    <w:p w:rsidR="00610F29" w:rsidRDefault="00027E2D" w:rsidP="00203116">
      <w:pPr>
        <w:pStyle w:val="Default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Стимулирующие выплаты.</w:t>
      </w:r>
    </w:p>
    <w:p w:rsidR="00B06176" w:rsidRDefault="00B06176" w:rsidP="00B06176">
      <w:pPr>
        <w:pStyle w:val="Default"/>
        <w:ind w:left="-96"/>
        <w:rPr>
          <w:sz w:val="28"/>
          <w:szCs w:val="28"/>
        </w:rPr>
      </w:pP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Выплаты стимулирующего характера включают в себя: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-выплаты за интенсивность и высокие результаты работы;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-выплаты за стаж работы по профилю;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-выплаты за квалификационную категорию;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-выплаты за качество выполняемых работ;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-премиальные и иные поощрительные выплаты.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Выплаты за интенсивность и высокие результаты работы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-выплаты за специфику образовательной программы (устанавливается согласно специфике образовательных программ и статуса учреждения);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-выплаты за управление структурным подразделением от до % (заведование учебно-опытным участком, мастерскими, спортзалом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 руководство предметной, методической и цикловой комиссией, за заведование кабинетом, музеем, лабораторией);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-выплаты за наличие почетных званий, государственных наград от 4-х до 10%.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Размеры стимулирующих выплат для основного персонала устанавливается согласно постановлению Кабинета Министров Республики Татарстан от 24.08.2010 года № 678 «Об условиях </w:t>
      </w:r>
      <w:proofErr w:type="gramStart"/>
      <w:r>
        <w:rPr>
          <w:sz w:val="28"/>
          <w:szCs w:val="28"/>
        </w:rPr>
        <w:t>оплаты труда работников государственных учреждений Республики</w:t>
      </w:r>
      <w:proofErr w:type="gramEnd"/>
      <w:r>
        <w:rPr>
          <w:sz w:val="28"/>
          <w:szCs w:val="28"/>
        </w:rPr>
        <w:t xml:space="preserve"> Татарстан» и  постановлению Кабинета Министров Республики Татарстан от 31.05.2018 г. №412 «Об условиях оплаты труда работников государственных образовательных организаций Республики Татарстан». </w:t>
      </w:r>
    </w:p>
    <w:p w:rsidR="00BB79D6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>
        <w:rPr>
          <w:sz w:val="28"/>
          <w:szCs w:val="28"/>
        </w:rPr>
        <w:t>Выплаты стимулирующего характера производятся в соответствии с Положением о критериях оценки эффективности деятельности педагогов, по решению комиссии и приказу руководителя учреждения в пределах бюджетных ассигнований на оплату труда работников учреждения, а также средств, поступающих от приносящей доход деятельности, направленных учреждением на оплату труда работников, по согласованию с представительным (п</w:t>
      </w:r>
      <w:r w:rsidR="00BB79D6">
        <w:rPr>
          <w:sz w:val="28"/>
          <w:szCs w:val="28"/>
        </w:rPr>
        <w:t>рофсоюзным) органом работников.</w:t>
      </w:r>
      <w:proofErr w:type="gramEnd"/>
    </w:p>
    <w:p w:rsidR="00610F29" w:rsidRDefault="00D33941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7E2D">
        <w:rPr>
          <w:sz w:val="28"/>
          <w:szCs w:val="28"/>
        </w:rPr>
        <w:t xml:space="preserve">.6. Установить одним из критериев оценки эффективности деятельности работников за выполнение социально значимой общественной работы (председателю первичной профсоюзной организации, ответственному за делопроизводство).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Основным критерием, влияющим на размер выплат за качество выполняемых работ, является достижение пороговых </w:t>
      </w:r>
      <w:proofErr w:type="gramStart"/>
      <w:r>
        <w:rPr>
          <w:sz w:val="28"/>
          <w:szCs w:val="28"/>
        </w:rPr>
        <w:t>значений критериев оценки эффективности деятельности учреждений</w:t>
      </w:r>
      <w:proofErr w:type="gramEnd"/>
      <w:r>
        <w:rPr>
          <w:sz w:val="28"/>
          <w:szCs w:val="28"/>
        </w:rPr>
        <w:t xml:space="preserve">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Критерии </w:t>
      </w:r>
      <w:proofErr w:type="gramStart"/>
      <w:r>
        <w:rPr>
          <w:sz w:val="28"/>
          <w:szCs w:val="28"/>
        </w:rPr>
        <w:t>оценки эффективности деятельности работников учреждения</w:t>
      </w:r>
      <w:proofErr w:type="gramEnd"/>
      <w:r>
        <w:rPr>
          <w:sz w:val="28"/>
          <w:szCs w:val="28"/>
        </w:rPr>
        <w:t xml:space="preserve"> разрабатываются на основании типовых критериев обсуждаются на заседании педагогического совета, утверждаются директором, по согласованию с профсоюзным комитетом учреждения.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Значение критериев и условия осуществления выплат определяется ежегодно на основании задач, поставленных перед учреждением.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Размер выплат за стаж работы по профилю и квалификационную категорию определяется постановлением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 xml:space="preserve"> РТ. </w:t>
      </w:r>
    </w:p>
    <w:p w:rsidR="00E72F0E" w:rsidRDefault="00E72F0E">
      <w:pPr>
        <w:pStyle w:val="Default"/>
        <w:jc w:val="both"/>
        <w:rPr>
          <w:sz w:val="28"/>
          <w:szCs w:val="28"/>
        </w:rPr>
      </w:pPr>
    </w:p>
    <w:p w:rsidR="00610F29" w:rsidRDefault="00027E2D" w:rsidP="00203116">
      <w:pPr>
        <w:pStyle w:val="Default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Компенсационные выплаты.</w:t>
      </w:r>
    </w:p>
    <w:p w:rsidR="00B06176" w:rsidRDefault="00B06176" w:rsidP="00B06176">
      <w:pPr>
        <w:pStyle w:val="Default"/>
        <w:ind w:left="-96"/>
        <w:rPr>
          <w:sz w:val="28"/>
          <w:szCs w:val="28"/>
        </w:rPr>
      </w:pP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 выплатам компенсационного характера в организации относятся: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выплаты работникам, занятым на тяжелых работах, работах с вредными и (или) опасными либо иными особыми условиями труда;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Выплаты компенсационного характера устанавливаются в процентах к окладам (должностным окладам), ставкам заработной платы или в абсолютных размерах, если иное не установлено федеральными законами, законами Республики Татарстан и указами Президента Российской Федерации и Республики Татарстан.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 учреждение устанавливаются следующие виды выплат компенсационного характера: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выплаты работникам, занятым на тяжелых работах, работах с вредными и (или) опасными и иными особыми условиями труда;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 </w:t>
      </w:r>
    </w:p>
    <w:p w:rsidR="00BB79D6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6.4. Руководитель учреждения проводит аттестацию рабочих мест по условиям труда в порядке, установленном трудовым законодательством.</w:t>
      </w:r>
    </w:p>
    <w:p w:rsidR="00610F29" w:rsidRDefault="00027E2D" w:rsidP="00BB79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 </w:t>
      </w:r>
    </w:p>
    <w:p w:rsidR="00610F29" w:rsidRDefault="00027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6.6.Выплаты компенсационного характера работникам, в других случаях выполнения работ в условиях, отклоняющихся от нормальных, устанавливаются с учетом статей 149, 150, 151, 152, 153, 154 Трудового кодекса Российской Федерации. </w:t>
      </w:r>
    </w:p>
    <w:p w:rsidR="00610F29" w:rsidRDefault="00027E2D">
      <w:pPr>
        <w:jc w:val="both"/>
        <w:rPr>
          <w:sz w:val="28"/>
          <w:szCs w:val="28"/>
        </w:rPr>
      </w:pPr>
      <w:r>
        <w:rPr>
          <w:sz w:val="28"/>
          <w:szCs w:val="28"/>
        </w:rPr>
        <w:t>6.7. Размеры и условия осуществления выплат компенсационного характера конкретизируются в трудовых договорах работников и в коллективном договоре.</w:t>
      </w:r>
    </w:p>
    <w:sectPr w:rsidR="00610F29" w:rsidSect="009975E9">
      <w:pgSz w:w="11906" w:h="16838"/>
      <w:pgMar w:top="56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BB0" w:rsidRDefault="00411BB0">
      <w:r>
        <w:separator/>
      </w:r>
    </w:p>
  </w:endnote>
  <w:endnote w:type="continuationSeparator" w:id="0">
    <w:p w:rsidR="00411BB0" w:rsidRDefault="00411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BB0" w:rsidRDefault="00411BB0">
      <w:r>
        <w:separator/>
      </w:r>
    </w:p>
  </w:footnote>
  <w:footnote w:type="continuationSeparator" w:id="0">
    <w:p w:rsidR="00411BB0" w:rsidRDefault="00411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7493"/>
    <w:multiLevelType w:val="hybridMultilevel"/>
    <w:tmpl w:val="8D22C81A"/>
    <w:lvl w:ilvl="0" w:tplc="0E12438A">
      <w:start w:val="3"/>
      <w:numFmt w:val="decimal"/>
      <w:lvlText w:val="%1."/>
      <w:lvlJc w:val="left"/>
      <w:pPr>
        <w:ind w:left="-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" w:hanging="360"/>
      </w:pPr>
    </w:lvl>
    <w:lvl w:ilvl="2" w:tplc="0419001B" w:tentative="1">
      <w:start w:val="1"/>
      <w:numFmt w:val="lowerRoman"/>
      <w:lvlText w:val="%3."/>
      <w:lvlJc w:val="right"/>
      <w:pPr>
        <w:ind w:left="1344" w:hanging="180"/>
      </w:pPr>
    </w:lvl>
    <w:lvl w:ilvl="3" w:tplc="0419000F" w:tentative="1">
      <w:start w:val="1"/>
      <w:numFmt w:val="decimal"/>
      <w:lvlText w:val="%4."/>
      <w:lvlJc w:val="left"/>
      <w:pPr>
        <w:ind w:left="2064" w:hanging="360"/>
      </w:pPr>
    </w:lvl>
    <w:lvl w:ilvl="4" w:tplc="04190019" w:tentative="1">
      <w:start w:val="1"/>
      <w:numFmt w:val="lowerLetter"/>
      <w:lvlText w:val="%5."/>
      <w:lvlJc w:val="left"/>
      <w:pPr>
        <w:ind w:left="2784" w:hanging="360"/>
      </w:pPr>
    </w:lvl>
    <w:lvl w:ilvl="5" w:tplc="0419001B" w:tentative="1">
      <w:start w:val="1"/>
      <w:numFmt w:val="lowerRoman"/>
      <w:lvlText w:val="%6."/>
      <w:lvlJc w:val="right"/>
      <w:pPr>
        <w:ind w:left="3504" w:hanging="180"/>
      </w:pPr>
    </w:lvl>
    <w:lvl w:ilvl="6" w:tplc="0419000F" w:tentative="1">
      <w:start w:val="1"/>
      <w:numFmt w:val="decimal"/>
      <w:lvlText w:val="%7."/>
      <w:lvlJc w:val="left"/>
      <w:pPr>
        <w:ind w:left="4224" w:hanging="360"/>
      </w:pPr>
    </w:lvl>
    <w:lvl w:ilvl="7" w:tplc="04190019" w:tentative="1">
      <w:start w:val="1"/>
      <w:numFmt w:val="lowerLetter"/>
      <w:lvlText w:val="%8."/>
      <w:lvlJc w:val="left"/>
      <w:pPr>
        <w:ind w:left="4944" w:hanging="360"/>
      </w:pPr>
    </w:lvl>
    <w:lvl w:ilvl="8" w:tplc="0419001B" w:tentative="1">
      <w:start w:val="1"/>
      <w:numFmt w:val="lowerRoman"/>
      <w:lvlText w:val="%9."/>
      <w:lvlJc w:val="right"/>
      <w:pPr>
        <w:ind w:left="5664" w:hanging="180"/>
      </w:pPr>
    </w:lvl>
  </w:abstractNum>
  <w:abstractNum w:abstractNumId="1">
    <w:nsid w:val="55E4604A"/>
    <w:multiLevelType w:val="hybridMultilevel"/>
    <w:tmpl w:val="2254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06A01"/>
    <w:multiLevelType w:val="hybridMultilevel"/>
    <w:tmpl w:val="30D8302C"/>
    <w:lvl w:ilvl="0" w:tplc="38B87948">
      <w:start w:val="1"/>
      <w:numFmt w:val="decimal"/>
      <w:lvlText w:val="%1."/>
      <w:lvlJc w:val="left"/>
      <w:pPr>
        <w:ind w:left="-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" w:hanging="360"/>
      </w:pPr>
    </w:lvl>
    <w:lvl w:ilvl="2" w:tplc="0419001B" w:tentative="1">
      <w:start w:val="1"/>
      <w:numFmt w:val="lowerRoman"/>
      <w:lvlText w:val="%3."/>
      <w:lvlJc w:val="right"/>
      <w:pPr>
        <w:ind w:left="1344" w:hanging="180"/>
      </w:pPr>
    </w:lvl>
    <w:lvl w:ilvl="3" w:tplc="0419000F" w:tentative="1">
      <w:start w:val="1"/>
      <w:numFmt w:val="decimal"/>
      <w:lvlText w:val="%4."/>
      <w:lvlJc w:val="left"/>
      <w:pPr>
        <w:ind w:left="2064" w:hanging="360"/>
      </w:pPr>
    </w:lvl>
    <w:lvl w:ilvl="4" w:tplc="04190019" w:tentative="1">
      <w:start w:val="1"/>
      <w:numFmt w:val="lowerLetter"/>
      <w:lvlText w:val="%5."/>
      <w:lvlJc w:val="left"/>
      <w:pPr>
        <w:ind w:left="2784" w:hanging="360"/>
      </w:pPr>
    </w:lvl>
    <w:lvl w:ilvl="5" w:tplc="0419001B" w:tentative="1">
      <w:start w:val="1"/>
      <w:numFmt w:val="lowerRoman"/>
      <w:lvlText w:val="%6."/>
      <w:lvlJc w:val="right"/>
      <w:pPr>
        <w:ind w:left="3504" w:hanging="180"/>
      </w:pPr>
    </w:lvl>
    <w:lvl w:ilvl="6" w:tplc="0419000F" w:tentative="1">
      <w:start w:val="1"/>
      <w:numFmt w:val="decimal"/>
      <w:lvlText w:val="%7."/>
      <w:lvlJc w:val="left"/>
      <w:pPr>
        <w:ind w:left="4224" w:hanging="360"/>
      </w:pPr>
    </w:lvl>
    <w:lvl w:ilvl="7" w:tplc="04190019" w:tentative="1">
      <w:start w:val="1"/>
      <w:numFmt w:val="lowerLetter"/>
      <w:lvlText w:val="%8."/>
      <w:lvlJc w:val="left"/>
      <w:pPr>
        <w:ind w:left="4944" w:hanging="360"/>
      </w:pPr>
    </w:lvl>
    <w:lvl w:ilvl="8" w:tplc="0419001B" w:tentative="1">
      <w:start w:val="1"/>
      <w:numFmt w:val="lowerRoman"/>
      <w:lvlText w:val="%9."/>
      <w:lvlJc w:val="right"/>
      <w:pPr>
        <w:ind w:left="5664" w:hanging="180"/>
      </w:pPr>
    </w:lvl>
  </w:abstractNum>
  <w:abstractNum w:abstractNumId="3">
    <w:nsid w:val="63DF29F6"/>
    <w:multiLevelType w:val="hybridMultilevel"/>
    <w:tmpl w:val="5C7A08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EEE7448"/>
    <w:multiLevelType w:val="hybridMultilevel"/>
    <w:tmpl w:val="9C3E92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3343E"/>
    <w:multiLevelType w:val="hybridMultilevel"/>
    <w:tmpl w:val="B3CE63A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75B44754"/>
    <w:multiLevelType w:val="hybridMultilevel"/>
    <w:tmpl w:val="78EC5FAA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7EB121CC"/>
    <w:multiLevelType w:val="hybridMultilevel"/>
    <w:tmpl w:val="C7B4CFCE"/>
    <w:lvl w:ilvl="0" w:tplc="12AE22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F29"/>
    <w:rsid w:val="00027E2D"/>
    <w:rsid w:val="00203116"/>
    <w:rsid w:val="00246AC0"/>
    <w:rsid w:val="00262155"/>
    <w:rsid w:val="00403F86"/>
    <w:rsid w:val="00411BB0"/>
    <w:rsid w:val="005F06B7"/>
    <w:rsid w:val="00610F29"/>
    <w:rsid w:val="00893CA5"/>
    <w:rsid w:val="009975E9"/>
    <w:rsid w:val="00B06176"/>
    <w:rsid w:val="00BB79D6"/>
    <w:rsid w:val="00D25A6D"/>
    <w:rsid w:val="00D33941"/>
    <w:rsid w:val="00E2109F"/>
    <w:rsid w:val="00E72F0E"/>
    <w:rsid w:val="00FD1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975E9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99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975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9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997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9975E9"/>
    <w:pPr>
      <w:ind w:firstLine="927"/>
      <w:contextualSpacing/>
      <w:jc w:val="both"/>
    </w:pPr>
    <w:rPr>
      <w:rFonts w:eastAsia="Calibri"/>
      <w:sz w:val="28"/>
      <w:szCs w:val="28"/>
    </w:rPr>
  </w:style>
  <w:style w:type="table" w:styleId="a6">
    <w:name w:val="Table Grid"/>
    <w:basedOn w:val="a1"/>
    <w:uiPriority w:val="59"/>
    <w:rsid w:val="00997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7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975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975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3C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3C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pPr>
      <w:ind w:firstLine="927"/>
      <w:contextualSpacing/>
      <w:jc w:val="both"/>
    </w:pPr>
    <w:rPr>
      <w:rFonts w:eastAsia="Calibri"/>
      <w:sz w:val="28"/>
      <w:szCs w:val="28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BEC66-EF29-49DD-9E5D-D3FE260B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4</cp:revision>
  <dcterms:created xsi:type="dcterms:W3CDTF">2021-05-27T18:40:00Z</dcterms:created>
  <dcterms:modified xsi:type="dcterms:W3CDTF">2021-06-02T12:08:00Z</dcterms:modified>
</cp:coreProperties>
</file>